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019F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C41066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5A05A7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3BA688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90E3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B206A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7006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964CE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610EE38" w14:textId="76E27E9F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766C8">
        <w:rPr>
          <w:rFonts w:ascii="Verdana" w:hAnsi="Verdana"/>
          <w:b/>
          <w:bCs/>
          <w:sz w:val="18"/>
          <w:szCs w:val="18"/>
        </w:rPr>
        <w:t xml:space="preserve">„Oprava TNS Velešín a Nemanice“,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28FABF2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CC40EF9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F13A0" w14:textId="77777777" w:rsidR="00FA6E91" w:rsidRDefault="00FA6E91">
      <w:r>
        <w:separator/>
      </w:r>
    </w:p>
  </w:endnote>
  <w:endnote w:type="continuationSeparator" w:id="0">
    <w:p w14:paraId="4520AEF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4674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10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C1C5C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C5C9" w14:textId="5C52D80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215D" w:rsidRPr="003621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F38CD" w14:textId="77777777" w:rsidR="00FA6E91" w:rsidRDefault="00FA6E91">
      <w:r>
        <w:separator/>
      </w:r>
    </w:p>
  </w:footnote>
  <w:footnote w:type="continuationSeparator" w:id="0">
    <w:p w14:paraId="4568C7A1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10C0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7D4F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C212DFC" w14:textId="77777777" w:rsidTr="0045048D">
      <w:trPr>
        <w:trHeight w:val="925"/>
      </w:trPr>
      <w:tc>
        <w:tcPr>
          <w:tcW w:w="5041" w:type="dxa"/>
          <w:vAlign w:val="center"/>
        </w:tcPr>
        <w:p w14:paraId="12F1DA4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350277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505FCB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D743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EE16F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5830211">
    <w:abstractNumId w:val="5"/>
  </w:num>
  <w:num w:numId="2" w16cid:durableId="1172454193">
    <w:abstractNumId w:val="1"/>
  </w:num>
  <w:num w:numId="3" w16cid:durableId="600572716">
    <w:abstractNumId w:val="2"/>
  </w:num>
  <w:num w:numId="4" w16cid:durableId="1562328555">
    <w:abstractNumId w:val="4"/>
  </w:num>
  <w:num w:numId="5" w16cid:durableId="1816677960">
    <w:abstractNumId w:val="0"/>
  </w:num>
  <w:num w:numId="6" w16cid:durableId="1410033568">
    <w:abstractNumId w:val="6"/>
  </w:num>
  <w:num w:numId="7" w16cid:durableId="821625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6215D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766C8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CBE90FE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2023-06-05T12:42:00Z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